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80 vom 19. August 2024</w:t>
      </w:r>
    </w:p>
    <w:p>
      <w:r>
        <w:t>VS Kantonsgericht, 2024-08-19, FR</w:t>
      </w:r>
    </w:p>
    <w:p>
      <w:r>
        <w:rPr>
          <w:b/>
        </w:rPr>
        <w:t xml:space="preserve">Quelle: </w:t>
      </w:r>
      <w:r>
        <w:t>https://mcp.opencaselaw.ch/entscheid/vs_gerichte_S2 23 80</w:t>
      </w:r>
    </w:p>
    <w:p>
      <w:r>
        <w:t>FR: VS_GERICHTE S2 23 80 du 19 août 2024</w:t>
      </w:r>
    </w:p>
    <w:p>
      <w:r>
        <w:t>IT: VS_GERICHTE S2 23 80 del 19 agosto 2024</w:t>
      </w:r>
    </w:p>
    <w:p>
      <w:pPr>
        <w:pStyle w:val="Heading2"/>
      </w:pPr>
      <w:r>
        <w:t>Regeste</w:t>
      </w:r>
    </w:p>
    <w:p>
      <w:r>
        <w:t>S2 23 80 ARRÊT DU 19 AOÛT 2024 Tribunal cantonal du Valais Cour des assurances sociales Composition : Candido Prada, président ; Frédéric Fellay et Christophe Joris, juges ; Simon Hausammann, greffier en la cause X _________, recourant contre CAISSE NATIONALE SUISSE D'ASSURANCE EN CAS D'ACCIDENTS (CNA), intimée (art. 6 et 36 LAA ; rechute, lien de causalité)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8 septembre 2022, le présent recours contre la décision sur opposition du 22 juillet précédent a été interjeté dans le délai légal de trente jours, prolongé des féries estivales (art. 38 al. 4 et 60 LPGA) et devant le tribunal compétent (art. 56, 57 et 58 LPGA ; art. 81a al. 1 LPJA). Il répond par ailleurs aux autres conditions formelles de recevabilité (art. 61 let. b LPGA), de sorte que la Cour doit entrer en matière.</w:t>
      </w:r>
    </w:p>
    <w:p>
      <w:r>
        <w:t>- 5 -</w:t>
      </w:r>
    </w:p>
    <w:p>
      <w:r>
        <w:rPr>
          <w:b/>
        </w:rPr>
        <w:t>E. 2</w:t>
      </w:r>
    </w:p>
    <w:p>
      <w:r>
        <w:t>Le litige porte sur l’existence d’un lien de causalité entre les troubles présentés par le recourant et la rechute annoncée le 13 juin 2022 en lien avec l’évènement du 15 mars 2011.</w:t>
      </w:r>
    </w:p>
    <w:p>
      <w:r>
        <w:rPr>
          <w:b/>
        </w:rPr>
        <w:t>E. 2.1</w:t>
      </w:r>
    </w:p>
    <w:p>
      <w:r>
        <w:t>Selon l'article 6 alinéa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(art. 11 OLAA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118 V 293 consid. 2c). Les rechutes et séquelles tardives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 arrêt du Tribunal fédéral 8C_421/2018 du 28 août 2018 consid. 3.1, in SVR 2019 n° 9 p. 26). A cet égard, la jurisprudence considère que plus le temps écoulé entre l'accident et la manifestation de l'affection est long, plus les exigences quant à la preuve, au degré de la vraisemblance prépondérante, du rapport de causalité naturelle doivent être sévères (arrêts du Tribunal fédéral 8C_115/2019 du 20 novembre 2019 consid. 3, 8C_61/2016 du 19 décembre 2016 consid. 3.2 avec les références [in SVR 2017 UV n° 19 p. 63] et 8C_331/2015 du 21 août 2015 consid. 2.2.2 [in SVR 2016 UV n° 18 p. 55]).</w:t>
      </w:r>
    </w:p>
    <w:p>
      <w:r>
        <w:rPr>
          <w:b/>
        </w:rPr>
        <w:t>E. 2.2</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w:t>
      </w:r>
    </w:p>
    <w:p>
      <w:r>
        <w:t>- 6 -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w:t>
      </w:r>
    </w:p>
    <w:p>
      <w:r>
        <w:t>- 7 -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rPr>
          <w:b/>
        </w:rPr>
        <w:t>E. 3</w:t>
      </w:r>
    </w:p>
    <w:p>
      <w:r>
        <w:t>L’intimée a refusé de prendre en charge les troubles du recourant, annoncés comme rechute le 13 juin 2022, au motif qu’ils n’étaient pas en relation de causalité avec l’évènement du 15 mars 2011.</w:t>
      </w:r>
    </w:p>
    <w:p>
      <w:r>
        <w:rPr>
          <w:b/>
        </w:rPr>
        <w:t>E. 3.1</w:t>
      </w:r>
    </w:p>
    <w:p>
      <w:r>
        <w:t>et 129 V 402 consid. 4.3.1 avec les références).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et 135 V 39 consid. 6.1 avec les références), étant précisé que le fardeau de la preuve de la disparition du lien de causalité appartient à la partie qui invoque la suppression du droit, soit à l'assureur (ATF 146 V 51 consid. 5.1 et les références).</w:t>
      </w:r>
    </w:p>
    <w:p>
      <w:r>
        <w:rPr>
          <w:b/>
        </w:rPr>
        <w:t>E. 3.2</w:t>
      </w:r>
    </w:p>
    <w:p>
      <w:r>
        <w:t>Dans le cas d’espèce, les différentes pièces du dossier permettent d’établir, au degré de la vraisemblance prépondérante, que les troubles présentés par le recourant en juin 2022 n’ont aucun lien avec sa chute du 15 mars 2011. Le médecin d’arrondissement a relevé de manière probante que les imageries effectuées avaient montré des atteintes dégénératives (discret remaniement dégénératif mixte et phénomène d’épaulement de la jonction tête-col fémoral), que lors de sa chute de 2011 le recourant s’était essentiellement plaint de douleurs au niveau du flanc gauche</w:t>
      </w:r>
    </w:p>
    <w:p>
      <w:r>
        <w:t>- 9 - et de la hanche gauche, sans évoquer des troubles lombaires, et que cette chute n’avait pas occasionné de lésion structurelle (cf. avis du 13 septembre 2022 et 15 février 2023 ; pièces 34 et 52). Cette appréciation tient compte de l’anamnèse du recourant, prend en compte les différentes pièces médicales et repose sur des conclusions fondées et cohérentes. Il n’existe par conséquent aucune raison de s’en écarter, ce d’autant plus qu’il s’est écoulé plus de 11 ans entre l’évènement initial du 15 mars 2011 et la rechute annoncée le 9 juin 2022. Les avis produits par le recourant n’aboutissent pas à un résultat différent et confirment au contraire l’absence de causalité. La Dresse D _________ a ainsi relevé le caractère dégénératif des troubles observés en juin 2022 en ajoutant qu’il n’existait pas de lésion traumatique, de sorte qu’elle n’était pas en mesure de rattacher ces troubles à la chute du 15 mars 2011 (cf. avis du 12 janvier 2023 ; pièce 60, p. 2). Pour la Dresse E _________, les lésions étaient également d’origine dégénérative et il lui était difficile de les attribuer à la chute de 2011, dès lors que son patient avait chuté sur le côté gauche et non sur le dos (cf. avis des 16 janvier 2023 et 20 février suivant ; pièce 60, pp. 3 et 4). Quant à la Dresse B _________, son avis isolé, reliant les troubles de son patient à sa chute de 2011, n’est fondé sur aucun examen objectif mais sur sa seule « impression médicale », en plus d’être visiblement influencé par le lien particulier qui lie un médecin traitant à son patient (cf. avis du 23 janvier 2023 ; pièce 60, p. 1). Elle base en outre son appréciation sur un état de fait erroné selon lequel son patient serait tombé sur le dos en 2011 (cf. rapport initial LAA du 28 juillet 2022 ; pièce 20) alors que le rapport de consultation ambulatoire du 15 mars 2011 fait clairement état d’une chute et contusion sur le flanc gauche (pièce 2). Au demeurant, il est plus que vraisemblable que si les lésions du recourant étaient réellement exacerbées par la « position vicieuse qu’il doit utiliser à son travail » d’installateur sanitaire (pièce 60, p. 1), elles se seraient déjà manifestées par le passé et non uniquement après 11 ans de métier. Ce faisant, le médecin traitant du recourant ne démontre pas que les troubles de son patient seraient liés à un accident assuré.</w:t>
      </w:r>
    </w:p>
    <w:p>
      <w:r>
        <w:rPr>
          <w:b/>
        </w:rPr>
        <w:t>E. 3.3</w:t>
      </w:r>
    </w:p>
    <w:p>
      <w:r>
        <w:t>Devant cette situation claire, la CNA pouvait sans autre refuser de prendre en charge la rechute annoncée par le recourant, à défaut de lien de causalité naturelle avec un évènement accidentel assuré (art. 6 al. 1 LAA). Par ailleurs, dans la mesure où les faits médicaux sont établis et qu’il n’existe aucun doute quant à l’origine dégénérative des plaintes de l’intéressé, il ne se justifie pas d’ordonner une mesure d’instruction complémentaire, à l’instar d’un expertise médicale telle que souhaitée par le recourant</w:t>
      </w:r>
    </w:p>
    <w:p>
      <w:r>
        <w:t>- 10 - (appréciation anticipée des moyens de preuve ; ATF 145 I 167 consid. 4.1 et 140 I 285 consid. 6.3.1 avec les références citées). Le recours, manifestement mal fondé, doit par conséquent être rejeté et la décision sur opposition du 11 juillet 2023 confirmée.</w:t>
      </w:r>
    </w:p>
    <w:p>
      <w:r>
        <w:rPr>
          <w:b/>
        </w:rPr>
        <w:t>E. 4</w:t>
      </w:r>
    </w:p>
    <w:p>
      <w:r>
        <w:t>Il n’est pas perçu de frais (art. 61 let. fbis LPGA ; la LAA ne prévoyant pas la perception de frais judiciaire), ni alloué de dépens au recourant (art. 61 let. g a contrario LPGA) ou à l’intimée (art. 91 al. 3 LPJA ; ATF 126 V 143 consid. 4a et les références).</w:t>
      </w:r>
    </w:p>
    <w:p>
      <w:r>
        <w:t>Prononce</w:t>
      </w:r>
    </w:p>
    <w:p>
      <w:r>
        <w:t>1. Le recours est rejeté. 2. Il n'est pas perçu de frais, ni alloué de dépens. Sion, le 19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